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" w:before="20" w:line="288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ZAŁĄCZNIK NR 4</w:t>
      </w:r>
    </w:p>
    <w:p w:rsidR="00000000" w:rsidDel="00000000" w:rsidP="00000000" w:rsidRDefault="00000000" w:rsidRPr="00000000" w14:paraId="00000002">
      <w:pPr>
        <w:spacing w:after="20" w:before="20" w:line="288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REGULAMIN OCENY WNIOSKÓW ZŁOŻONYCH W KONKURSIE REGRANTINGU</w:t>
      </w:r>
    </w:p>
    <w:p w:rsidR="00000000" w:rsidDel="00000000" w:rsidP="00000000" w:rsidRDefault="00000000" w:rsidRPr="00000000" w14:paraId="00000003">
      <w:pPr>
        <w:spacing w:after="20" w:before="20" w:line="288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„Aktywna Młodzież”</w:t>
      </w:r>
    </w:p>
    <w:p w:rsidR="00000000" w:rsidDel="00000000" w:rsidP="00000000" w:rsidRDefault="00000000" w:rsidRPr="00000000" w14:paraId="00000004">
      <w:pPr>
        <w:spacing w:after="20" w:before="20" w:line="288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0" w:before="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I. GRUPA EKSPERTÓW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0" w:before="2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Oceny merytorycznej wniosków dokonują Eksperci powołani przez Operatora, którzy utworzą Komisję Oceny Projektów i będą oceniać Wnioski zgodnie z niniejszym Regulaminem Oceny Wniosków.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0" w:before="2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Eksperci oceniają Wnioski na podstawie jednakowych kryteriów oceny zawartych w Karcie Oceny Merytorycznej.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0" w:before="2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Wśród Ekspertów mogą być osoby będące współpracownikami Operatora lub inne osoby mające kwalifikacje i doświadczenie pozwalające na właściwą ocenę Wniosków.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0" w:before="2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Eksperci nie mogą być związani z Wnioskodawcami stosunkiem osobistym lub służbowym takiego rodzaju, który mógłby wywołać wątpliwości co do bezstronności przeprowadzanych czynności.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0" w:before="2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Eksperci są zobowiązani do podpisania deklaracji bezstronności, niezależności i poufności.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0" w:before="2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Eksperci uczestniczący w konsultacjach na etapie przygotowania Wniosków nie dokonują oceny Wniosku tego samego Wnioskodawcy.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0" w:before="2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Eksperci zobowiązują się do dokonania oceny osobiście, profesjonalnie, z należytą starannością na podstawie treści zawartych w Regulaminie Konkursu oraz ogłoszeniu o konkursie.</w:t>
      </w:r>
    </w:p>
    <w:p w:rsidR="00000000" w:rsidDel="00000000" w:rsidP="00000000" w:rsidRDefault="00000000" w:rsidRPr="00000000" w14:paraId="0000000D">
      <w:pPr>
        <w:spacing w:after="20" w:before="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II. OCENA FORMALNA WNIOSKÓW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0" w:before="2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Ocena formalna Wniosków odbywa się niezwłocznie po zakończeniu naboru wniosków.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0" w:before="2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Ocena formalna Wniosków odbywa się na podstawie kryteriów określonych w Karcie Oceny Formalnej stanowiącej załącznik do Regulaminu Konkursu.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0" w:before="2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Do oceny merytorycznej trafiają wnioski wyłącznie z pozytywną oceną formalną</w:t>
      </w:r>
    </w:p>
    <w:p w:rsidR="00000000" w:rsidDel="00000000" w:rsidP="00000000" w:rsidRDefault="00000000" w:rsidRPr="00000000" w14:paraId="00000011">
      <w:pPr>
        <w:spacing w:after="20" w:before="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III. OCENA MERYTORYCZNA WNIOSKÓW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Ocena merytoryczna Wniosków odbywa się na podstawie kryteriów przedstawionych w Karcie Oceny Merytorycznej stanowiącej załącznik do regulaminu Konkursu.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Każdy Wniosek oceniany jest przez 2 Ekspertów. W przypadku, jeżeli rozbieżność w ocenie wyniesie ponad 20 punktów, wtedy wniosek zostanie oceniony dodatkowo przez 3 eksperta.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Eksperci dokonują indywidualnej oceny punktowej oraz zamieszczają uzasadnienie w przypadku odjęcia punktów w poszczególnych kryteriach.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Ocenę końcową Wniosku stanowi średnia ze wszystkich ocen Ekspertów.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Ekspert może rekomendować przyznanie Mikrodotacji w pełnej lub niepełnej kwocie wnioskowanej przez Wnioskodawcę.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Za poprawnie merytoryczny uznaje się Wniosek, który uzyskał minimum 50% punktów.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Operator ma prawo zmienić kwotę dofinansowania zarekomendowaną przez Ekspertów.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Operator wskazuje do dofinansowania Wnioski z puli wniosków, które uzyskały minimum 50% punktów, począwszy od Wniosku, który uzyskał największą ilość punktów, a skończywszy na Wniosku, który jako ostatni wyczerpuje pulę środków, jaką Operator zamierzał przeznaczyć w całym Konkursie Mikrodotacji.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" w:before="0" w:beforeAutospacing="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Karty Oceny Merytorycznej bez danych Eksperta mogą zostać udostępnione na wniosek Wnioskodawcy.</w:t>
      </w:r>
    </w:p>
    <w:p w:rsidR="00000000" w:rsidDel="00000000" w:rsidP="00000000" w:rsidRDefault="00000000" w:rsidRPr="00000000" w14:paraId="0000001B">
      <w:pPr>
        <w:spacing w:after="20" w:before="20" w:line="288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IV. WYNIKI OCENY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Operator na podstawie ocen Ekspertów przedstawi Listę Wniosków rekomendowanych do dofinansowania.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Na Liście Wniosków znajdą się wnioski ocenione formalnie i merytorycznie.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 przypadku uzyskania równej liczby punktów, o kolejności na Liście Wniosków rekomendowanych do dofinansowania decyduje Operator.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Nie ma możliwości odwołania się od ocen merytorycznych przyznanych przez Ekspertów.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0" w:before="0" w:beforeAutospacing="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Lista Wniosków rekomendowanych do dofinansowania zawierać będzie następujące informacje:</w:t>
      </w:r>
    </w:p>
    <w:p w:rsidR="00000000" w:rsidDel="00000000" w:rsidP="00000000" w:rsidRDefault="00000000" w:rsidRPr="00000000" w14:paraId="00000021">
      <w:pPr>
        <w:spacing w:after="20" w:before="20" w:line="288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a. numer oferty,</w:t>
      </w:r>
    </w:p>
    <w:p w:rsidR="00000000" w:rsidDel="00000000" w:rsidP="00000000" w:rsidRDefault="00000000" w:rsidRPr="00000000" w14:paraId="00000022">
      <w:pPr>
        <w:spacing w:after="20" w:before="20" w:line="288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b. województwo,</w:t>
      </w:r>
    </w:p>
    <w:p w:rsidR="00000000" w:rsidDel="00000000" w:rsidP="00000000" w:rsidRDefault="00000000" w:rsidRPr="00000000" w14:paraId="00000023">
      <w:pPr>
        <w:spacing w:after="20" w:before="20" w:line="288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c. wybrana ścieżka,</w:t>
      </w:r>
    </w:p>
    <w:p w:rsidR="00000000" w:rsidDel="00000000" w:rsidP="00000000" w:rsidRDefault="00000000" w:rsidRPr="00000000" w14:paraId="00000024">
      <w:pPr>
        <w:spacing w:after="20" w:before="20" w:line="288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b. nazwa Wnioskodawcy,</w:t>
      </w:r>
    </w:p>
    <w:p w:rsidR="00000000" w:rsidDel="00000000" w:rsidP="00000000" w:rsidRDefault="00000000" w:rsidRPr="00000000" w14:paraId="00000025">
      <w:pPr>
        <w:spacing w:after="20" w:before="20" w:line="288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c. tytuł Projektu,</w:t>
      </w:r>
    </w:p>
    <w:p w:rsidR="00000000" w:rsidDel="00000000" w:rsidP="00000000" w:rsidRDefault="00000000" w:rsidRPr="00000000" w14:paraId="00000026">
      <w:pPr>
        <w:spacing w:after="20" w:before="20" w:line="288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d. kwota przyznanego dofinansowania.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0" w:before="20" w:line="288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W przypadku realizacji naboru w formie ciągłej Listy Wniosków rekomendowanych do dofinansowania będą na bieżąco aktualizowane. Niniejszy Regulamin jest załącznikiem do Regulaminu Konkursu Regrantingu</w:t>
      </w:r>
    </w:p>
    <w:p w:rsidR="00000000" w:rsidDel="00000000" w:rsidP="00000000" w:rsidRDefault="00000000" w:rsidRPr="00000000" w14:paraId="00000028">
      <w:pPr>
        <w:spacing w:after="20" w:before="20" w:line="288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8" w:top="1418" w:left="1418" w:right="1418" w:header="709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line="288" w:lineRule="auto"/>
      <w:jc w:val="left"/>
      <w:rPr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4932680</wp:posOffset>
          </wp:positionV>
          <wp:extent cx="589915" cy="7926070"/>
          <wp:effectExtent b="0" l="0" r="0" t="0"/>
          <wp:wrapNone/>
          <wp:docPr descr="C:\Users\joann\Downloads\Bez tytułu.png" id="285" name="image2.png"/>
          <a:graphic>
            <a:graphicData uri="http://schemas.openxmlformats.org/drawingml/2006/picture">
              <pic:pic>
                <pic:nvPicPr>
                  <pic:cNvPr descr="C:\Users\joann\Downloads\Bez tytułu.png" id="0" name="image2.png"/>
                  <pic:cNvPicPr preferRelativeResize="0"/>
                </pic:nvPicPr>
                <pic:blipFill>
                  <a:blip r:embed="rId1"/>
                  <a:srcRect b="0" l="31948" r="30104" t="-1133"/>
                  <a:stretch>
                    <a:fillRect/>
                  </a:stretch>
                </pic:blipFill>
                <pic:spPr>
                  <a:xfrm rot="16200000">
                    <a:off x="0" y="0"/>
                    <a:ext cx="589915" cy="79260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4989830</wp:posOffset>
          </wp:positionV>
          <wp:extent cx="45719" cy="7947681"/>
          <wp:effectExtent b="0" l="0" r="0" t="0"/>
          <wp:wrapNone/>
          <wp:docPr descr="C:\Users\joann\Downloads\Bez tytułu.png" id="286" name="image2.png"/>
          <a:graphic>
            <a:graphicData uri="http://schemas.openxmlformats.org/drawingml/2006/picture">
              <pic:pic>
                <pic:nvPicPr>
                  <pic:cNvPr descr="C:\Users\joann\Downloads\Bez tytułu.png" id="0" name="image2.png"/>
                  <pic:cNvPicPr preferRelativeResize="0"/>
                </pic:nvPicPr>
                <pic:blipFill>
                  <a:blip r:embed="rId1"/>
                  <a:srcRect b="0" l="31948" r="30104" t="-1133"/>
                  <a:stretch>
                    <a:fillRect/>
                  </a:stretch>
                </pic:blipFill>
                <pic:spPr>
                  <a:xfrm rot="16200000">
                    <a:off x="0" y="0"/>
                    <a:ext cx="45719" cy="794768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5304790</wp:posOffset>
          </wp:positionV>
          <wp:extent cx="589915" cy="7926070"/>
          <wp:effectExtent b="0" l="0" r="0" t="0"/>
          <wp:wrapNone/>
          <wp:docPr descr="C:\Users\joann\Downloads\Bez tytułu.png" id="287" name="image2.png"/>
          <a:graphic>
            <a:graphicData uri="http://schemas.openxmlformats.org/drawingml/2006/picture">
              <pic:pic>
                <pic:nvPicPr>
                  <pic:cNvPr descr="C:\Users\joann\Downloads\Bez tytułu.png" id="0" name="image2.png"/>
                  <pic:cNvPicPr preferRelativeResize="0"/>
                </pic:nvPicPr>
                <pic:blipFill>
                  <a:blip r:embed="rId1"/>
                  <a:srcRect b="0" l="31948" r="30104" t="-1133"/>
                  <a:stretch>
                    <a:fillRect/>
                  </a:stretch>
                </pic:blipFill>
                <pic:spPr>
                  <a:xfrm rot="16200000">
                    <a:off x="0" y="0"/>
                    <a:ext cx="589915" cy="79260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4932680</wp:posOffset>
          </wp:positionV>
          <wp:extent cx="589915" cy="7926070"/>
          <wp:effectExtent b="0" l="0" r="0" t="0"/>
          <wp:wrapNone/>
          <wp:docPr descr="C:\Users\joann\Downloads\Bez tytułu.png" id="288" name="image2.png"/>
          <a:graphic>
            <a:graphicData uri="http://schemas.openxmlformats.org/drawingml/2006/picture">
              <pic:pic>
                <pic:nvPicPr>
                  <pic:cNvPr descr="C:\Users\joann\Downloads\Bez tytułu.png" id="0" name="image2.png"/>
                  <pic:cNvPicPr preferRelativeResize="0"/>
                </pic:nvPicPr>
                <pic:blipFill>
                  <a:blip r:embed="rId1"/>
                  <a:srcRect b="0" l="31948" r="30104" t="-1133"/>
                  <a:stretch>
                    <a:fillRect/>
                  </a:stretch>
                </pic:blipFill>
                <pic:spPr>
                  <a:xfrm rot="16200000">
                    <a:off x="0" y="0"/>
                    <a:ext cx="589915" cy="79260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-939952</wp:posOffset>
          </wp:positionH>
          <wp:positionV relativeFrom="paragraph">
            <wp:posOffset>-314505</wp:posOffset>
          </wp:positionV>
          <wp:extent cx="7638650" cy="795284"/>
          <wp:effectExtent b="0" l="0" r="0" t="0"/>
          <wp:wrapNone/>
          <wp:docPr id="28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8650" cy="79528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tabs>
        <w:tab w:val="center" w:leader="none" w:pos="4536"/>
        <w:tab w:val="right" w:leader="none" w:pos="9072"/>
      </w:tabs>
      <w:spacing w:line="288" w:lineRule="auto"/>
      <w:jc w:val="both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-290192</wp:posOffset>
          </wp:positionH>
          <wp:positionV relativeFrom="page">
            <wp:posOffset>116840</wp:posOffset>
          </wp:positionV>
          <wp:extent cx="7924800" cy="1326021"/>
          <wp:effectExtent b="0" l="0" r="0" t="0"/>
          <wp:wrapNone/>
          <wp:docPr id="2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24800" cy="132602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center" w:leader="none" w:pos="4536"/>
        <w:tab w:val="right" w:leader="none" w:pos="9072"/>
      </w:tabs>
      <w:jc w:val="center"/>
      <w:rPr>
        <w:b w:val="1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center" w:leader="none" w:pos="4536"/>
        <w:tab w:val="right" w:leader="none" w:pos="9072"/>
      </w:tabs>
      <w:jc w:val="center"/>
      <w:rPr>
        <w:b w:val="1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center" w:leader="none" w:pos="4536"/>
        <w:tab w:val="right" w:leader="none" w:pos="9072"/>
      </w:tabs>
      <w:jc w:val="center"/>
      <w:rPr>
        <w:b w:val="1"/>
        <w:sz w:val="32"/>
        <w:szCs w:val="3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792DF8"/>
    <w:pPr>
      <w:suppressAutoHyphens w:val="1"/>
    </w:pPr>
    <w:rPr>
      <w:rFonts w:cs="Times New Roman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8647F2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8647F2"/>
    <w:rPr>
      <w:rFonts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 w:val="1"/>
    <w:rsid w:val="008647F2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8647F2"/>
    <w:rPr>
      <w:rFonts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4846A2"/>
    <w:pPr>
      <w:widowControl w:val="0"/>
      <w:autoSpaceDN w:val="0"/>
      <w:spacing w:after="280" w:before="280"/>
      <w:textAlignment w:val="baseline"/>
    </w:pPr>
    <w:rPr>
      <w:rFonts w:ascii="Times New Roman" w:cs="Mangal" w:eastAsia="SimSun, 宋体" w:hAnsi="Times New Roman"/>
      <w:kern w:val="3"/>
      <w:lang w:bidi="hi-IN"/>
    </w:rPr>
  </w:style>
  <w:style w:type="paragraph" w:styleId="Tekstpodstawowy">
    <w:name w:val="Body Text"/>
    <w:basedOn w:val="Normalny"/>
    <w:link w:val="TekstpodstawowyZnak"/>
    <w:rsid w:val="004846A2"/>
    <w:pPr>
      <w:autoSpaceDN w:val="0"/>
      <w:spacing w:after="120" w:line="276" w:lineRule="auto"/>
    </w:pPr>
    <w:rPr>
      <w:rFonts w:eastAsia="SimSun"/>
      <w:kern w:val="3"/>
      <w:sz w:val="22"/>
      <w:szCs w:val="22"/>
      <w:lang w:eastAsia="ar-SA"/>
    </w:rPr>
  </w:style>
  <w:style w:type="character" w:styleId="TekstpodstawowyZnak" w:customStyle="1">
    <w:name w:val="Tekst podstawowy Znak"/>
    <w:basedOn w:val="Domylnaczcionkaakapitu"/>
    <w:link w:val="Tekstpodstawowy"/>
    <w:rsid w:val="004846A2"/>
    <w:rPr>
      <w:rFonts w:ascii="Calibri" w:cs="Times New Roman" w:eastAsia="SimSun" w:hAnsi="Calibri"/>
      <w:kern w:val="3"/>
      <w:lang w:eastAsia="ar-SA"/>
    </w:rPr>
  </w:style>
  <w:style w:type="table" w:styleId="Tabela-Siatka">
    <w:name w:val="Table Grid"/>
    <w:basedOn w:val="Standardowy"/>
    <w:uiPriority w:val="39"/>
    <w:rsid w:val="004846A2"/>
    <w:rPr>
      <w:rFonts w:eastAsiaTheme="minorHAns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kapitzlist">
    <w:name w:val="List Paragraph"/>
    <w:basedOn w:val="Normalny"/>
    <w:uiPriority w:val="34"/>
    <w:qFormat w:val="1"/>
    <w:rsid w:val="001742F4"/>
    <w:pPr>
      <w:ind w:left="720"/>
      <w:contextualSpacing w:val="1"/>
    </w:p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E52EAF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E52EAF"/>
    <w:rPr>
      <w:rFonts w:ascii="Segoe UI" w:cs="Segoe UI" w:hAnsi="Segoe UI"/>
      <w:sz w:val="18"/>
      <w:szCs w:val="18"/>
      <w:lang w:eastAsia="zh-CN"/>
    </w:rPr>
  </w:style>
  <w:style w:type="paragraph" w:styleId="Poprawka">
    <w:name w:val="Revision"/>
    <w:hidden w:val="1"/>
    <w:uiPriority w:val="99"/>
    <w:semiHidden w:val="1"/>
    <w:rsid w:val="002A61E1"/>
    <w:rPr>
      <w:rFonts w:cs="Times New Roman"/>
      <w:lang w:eastAsia="zh-CN"/>
    </w:rPr>
  </w:style>
  <w:style w:type="character" w:styleId="Hipercze">
    <w:name w:val="Hyperlink"/>
    <w:basedOn w:val="Domylnaczcionkaakapitu"/>
    <w:uiPriority w:val="99"/>
    <w:unhideWhenUsed w:val="1"/>
    <w:rsid w:val="00A42A77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A42A7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TyowPuk3/MKDVloCA+PpFRwpEg==">CgMxLjA4AHIhMUxxZlJEaXc1cGZ6QzBiUGo2SUlkcEpXZW1OVG1mY2ph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2023-06-09T11:26:00Z</dcterms:created>
  <dc:creator>Joanna Bauerfeind</dc:creator>
</cp:coreProperties>
</file>